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334971" w:displacedByCustomXml="next"/>
    <w:sdt>
      <w:sdtPr>
        <w:rPr>
          <w:rFonts w:ascii="Gill Sans MT" w:hAnsi="Gill Sans MT"/>
          <w:b w:val="0"/>
          <w:caps/>
          <w:color w:val="auto"/>
          <w:sz w:val="26"/>
          <w:szCs w:val="26"/>
        </w:rPr>
        <w:alias w:val="Project Title"/>
        <w:tag w:val="ProjectTitle"/>
        <w:id w:val="-1775778734"/>
        <w:placeholder>
          <w:docPart w:val="8F9591D8C6D042228C99892372059066"/>
        </w:placeholder>
      </w:sdtPr>
      <w:sdtEndPr/>
      <w:sdtContent>
        <w:p w14:paraId="28B4FECC" w14:textId="77777777" w:rsidR="00EB7B84" w:rsidRPr="00EB7B84" w:rsidRDefault="00EB7B84" w:rsidP="00EB7B84">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center"/>
            <w:rPr>
              <w:rFonts w:ascii="Gill Sans MT" w:hAnsi="Gill Sans MT"/>
              <w:b w:val="0"/>
              <w:caps/>
              <w:color w:val="auto"/>
              <w:sz w:val="26"/>
              <w:szCs w:val="26"/>
            </w:rPr>
          </w:pPr>
          <w:r w:rsidRPr="00EB7B84">
            <w:rPr>
              <w:rFonts w:ascii="Gill Sans MT" w:hAnsi="Gill Sans MT"/>
              <w:b w:val="0"/>
              <w:caps/>
              <w:color w:val="auto"/>
              <w:sz w:val="26"/>
              <w:szCs w:val="26"/>
            </w:rPr>
            <w:t>Georgia: Facilitating an integrated operational framework for migrant reintegration, integration and labour migration</w:t>
          </w:r>
        </w:p>
      </w:sdtContent>
    </w:sdt>
    <w:bookmarkEnd w:id="0"/>
    <w:p w14:paraId="429F9E9E" w14:textId="77777777" w:rsidR="00EB7B84" w:rsidRDefault="00EB7B84" w:rsidP="00EB7B84">
      <w:pPr>
        <w:autoSpaceDE w:val="0"/>
        <w:autoSpaceDN w:val="0"/>
        <w:adjustRightInd w:val="0"/>
        <w:rPr>
          <w:b/>
        </w:rPr>
      </w:pPr>
    </w:p>
    <w:p w14:paraId="0094EA52" w14:textId="77777777" w:rsidR="00EB7B84" w:rsidRPr="00EB7B84" w:rsidRDefault="00EB7B84" w:rsidP="00EB7B84">
      <w:pPr>
        <w:autoSpaceDE w:val="0"/>
        <w:autoSpaceDN w:val="0"/>
        <w:adjustRightInd w:val="0"/>
        <w:rPr>
          <w:rFonts w:ascii="Gill Sans MT" w:hAnsi="Gill Sans MT"/>
        </w:rPr>
      </w:pPr>
      <w:r w:rsidRPr="00EB7B84">
        <w:rPr>
          <w:rFonts w:ascii="Gill Sans MT" w:hAnsi="Gill Sans MT"/>
        </w:rPr>
        <w:t>PROJECT SUMMARY</w:t>
      </w:r>
    </w:p>
    <w:p w14:paraId="6BEDF3E0" w14:textId="7D9F57BA" w:rsidR="00EB7B84" w:rsidRPr="00D05758" w:rsidRDefault="00EB7B84" w:rsidP="00EB7B84">
      <w:pPr>
        <w:autoSpaceDE w:val="0"/>
        <w:autoSpaceDN w:val="0"/>
        <w:adjustRightInd w:val="0"/>
        <w:rPr>
          <w:rFonts w:eastAsia="Calibri" w:cs="Arial"/>
          <w:iCs/>
        </w:rPr>
      </w:pPr>
      <w:r w:rsidRPr="00D05758">
        <w:t>The Go</w:t>
      </w:r>
      <w:r>
        <w:t>vernment of Georgia</w:t>
      </w:r>
      <w:r w:rsidRPr="00D05758">
        <w:t xml:space="preserve"> has recently undergone significant structural changes, including the abolishment of several Ministries and subsequent redistribution of their functions to other State bodies. </w:t>
      </w:r>
      <w:r w:rsidRPr="00D05758">
        <w:rPr>
          <w:rFonts w:eastAsia="Calibri" w:cs="Arial"/>
          <w:iCs/>
        </w:rPr>
        <w:t>The reform has had major impacts on the country’s institutional and operational framework for migration management.</w:t>
      </w:r>
      <w:r w:rsidRPr="00D05758">
        <w:t xml:space="preserve"> </w:t>
      </w:r>
      <w:r>
        <w:rPr>
          <w:rFonts w:eastAsia="Calibri" w:cs="Arial"/>
          <w:iCs/>
        </w:rPr>
        <w:t>T</w:t>
      </w:r>
      <w:r w:rsidRPr="00D05758">
        <w:rPr>
          <w:rFonts w:eastAsia="Calibri" w:cs="Arial"/>
          <w:iCs/>
        </w:rPr>
        <w:t xml:space="preserve">he Ministry of Internally Displaced Persons from the Occupied Territories, Labour, Health and Social Affairs (MoLHSA) has acquired additional functions related to the reintegration of Georgian returning migrants, and integration of immigrant populations </w:t>
      </w:r>
      <w:r w:rsidR="00C03B7E">
        <w:rPr>
          <w:rFonts w:eastAsia="Calibri" w:cs="Arial"/>
          <w:iCs/>
        </w:rPr>
        <w:t xml:space="preserve">of </w:t>
      </w:r>
      <w:r>
        <w:rPr>
          <w:rFonts w:eastAsia="Calibri" w:cs="Arial"/>
          <w:iCs/>
        </w:rPr>
        <w:t>Georgia</w:t>
      </w:r>
      <w:r w:rsidRPr="00D05758">
        <w:rPr>
          <w:rFonts w:eastAsia="Calibri" w:cs="Arial"/>
          <w:iCs/>
        </w:rPr>
        <w:t xml:space="preserve">. Along with its labour migration portfolio, MoLHSA thus became a major migration management actor and service provider in the country. </w:t>
      </w:r>
    </w:p>
    <w:p w14:paraId="22B1B909" w14:textId="77777777" w:rsidR="00EB7B84" w:rsidRPr="00D05758" w:rsidRDefault="00EB7B84" w:rsidP="00EB7B84">
      <w:pPr>
        <w:autoSpaceDE w:val="0"/>
        <w:autoSpaceDN w:val="0"/>
        <w:adjustRightInd w:val="0"/>
        <w:rPr>
          <w:rFonts w:eastAsia="Calibri" w:cs="Arial"/>
          <w:iCs/>
        </w:rPr>
      </w:pPr>
    </w:p>
    <w:p w14:paraId="1714596D" w14:textId="5F125AA6" w:rsidR="00EB7B84" w:rsidRDefault="00EB7B84" w:rsidP="00EB7B84">
      <w:pPr>
        <w:autoSpaceDE w:val="0"/>
        <w:autoSpaceDN w:val="0"/>
        <w:adjustRightInd w:val="0"/>
      </w:pPr>
      <w:r w:rsidRPr="00D05758">
        <w:rPr>
          <w:rFonts w:eastAsia="Calibri" w:cs="Arial"/>
          <w:iCs/>
        </w:rPr>
        <w:t xml:space="preserve">To accommodate the new mandates, a new Migration Division has been established within the Ministry. The Division was formed with an intention to integrate approaches to reintegration of returnees, integration of migrants and outbound labour migration in a holistic and innovative way. In addition, </w:t>
      </w:r>
      <w:r w:rsidR="00934F1E">
        <w:rPr>
          <w:rFonts w:eastAsia="Calibri" w:cs="Arial"/>
          <w:iCs/>
        </w:rPr>
        <w:t xml:space="preserve">the more of the </w:t>
      </w:r>
      <w:r w:rsidRPr="00D05758">
        <w:rPr>
          <w:rFonts w:eastAsia="Calibri" w:cs="Arial"/>
          <w:iCs/>
        </w:rPr>
        <w:t xml:space="preserve">State Employment Agency under MoLHSA is expected to further strengthen the Ministry’s ability to offer services to the wider population, including to migrants. </w:t>
      </w:r>
    </w:p>
    <w:p w14:paraId="02B76532" w14:textId="77777777" w:rsidR="00EB7B84" w:rsidRDefault="00EB7B84" w:rsidP="00EB7B84">
      <w:pPr>
        <w:autoSpaceDE w:val="0"/>
        <w:autoSpaceDN w:val="0"/>
        <w:adjustRightInd w:val="0"/>
      </w:pPr>
    </w:p>
    <w:p w14:paraId="50B1E44A" w14:textId="1E351E11" w:rsidR="00EB7B84" w:rsidRDefault="00EB7B84" w:rsidP="00EB7B84">
      <w:pPr>
        <w:autoSpaceDE w:val="0"/>
        <w:autoSpaceDN w:val="0"/>
        <w:adjustRightInd w:val="0"/>
      </w:pPr>
      <w:r>
        <w:t xml:space="preserve">Under this project, the new, integrated Division and MoLHSA at large will be provided with extensive capacity building in </w:t>
      </w:r>
      <w:r w:rsidR="00195148">
        <w:t xml:space="preserve">its </w:t>
      </w:r>
      <w:r>
        <w:t xml:space="preserve">migration-related areas of responsibility. The project also aims to support the Ministry in enhancing the legislative and operational synergies between </w:t>
      </w:r>
      <w:r w:rsidR="00934F1E">
        <w:t>the</w:t>
      </w:r>
      <w:r>
        <w:t xml:space="preserve"> three areas of concern and developing an innovative integrated approach to their management</w:t>
      </w:r>
      <w:r w:rsidR="00076747">
        <w:t xml:space="preserve"> and mainstreaming into </w:t>
      </w:r>
      <w:r w:rsidR="00765E9A">
        <w:t xml:space="preserve">practical </w:t>
      </w:r>
      <w:r w:rsidR="00076747">
        <w:t>service provision</w:t>
      </w:r>
      <w:r>
        <w:t xml:space="preserve">. </w:t>
      </w:r>
    </w:p>
    <w:p w14:paraId="538FBC68" w14:textId="77777777" w:rsidR="00EB7B84" w:rsidRDefault="00EB7B84" w:rsidP="00EB7B84">
      <w:pPr>
        <w:autoSpaceDE w:val="0"/>
        <w:autoSpaceDN w:val="0"/>
        <w:adjustRightInd w:val="0"/>
      </w:pPr>
    </w:p>
    <w:p w14:paraId="4C3BC43D" w14:textId="370D46B7" w:rsidR="00EB7B84" w:rsidRPr="00D05758" w:rsidRDefault="00EB7B84" w:rsidP="00EB7B84">
      <w:pPr>
        <w:autoSpaceDE w:val="0"/>
        <w:autoSpaceDN w:val="0"/>
        <w:adjustRightInd w:val="0"/>
      </w:pPr>
      <w:r>
        <w:t xml:space="preserve">Based upon the Government’s request, and in close coordination with relevant GoG structures, IOM will support MoLHSA through both general and targeted capacity building efforts in managing migrant reintegration, integration, and labour migration; through analysis of policy, legislative, operational and institutional needs and responsibilities in the three interconnected thematic areas; </w:t>
      </w:r>
      <w:r w:rsidR="00E61A2B">
        <w:t xml:space="preserve">field-research focused on reintegration sustainability among returned migrants, integration experiences among third country nationals, and labour migration attitudes among potential migrants; as well as </w:t>
      </w:r>
      <w:r>
        <w:t>by facilitating the design of a</w:t>
      </w:r>
      <w:r w:rsidR="00C03B7E">
        <w:t>n</w:t>
      </w:r>
      <w:r>
        <w:t xml:space="preserve"> innovative operational framework for and between the Migration Division and the State Employment Agency, both operating under MoLHSA.</w:t>
      </w:r>
    </w:p>
    <w:p w14:paraId="2BE42590" w14:textId="77777777" w:rsidR="00EB7B84" w:rsidRDefault="00EB7B84" w:rsidP="00EB7B84">
      <w:pPr>
        <w:autoSpaceDE w:val="0"/>
        <w:autoSpaceDN w:val="0"/>
        <w:adjustRightInd w:val="0"/>
        <w:rPr>
          <w:rFonts w:ascii="Gill Sans MT" w:hAnsi="Gill Sans MT"/>
          <w:b/>
        </w:rPr>
      </w:pPr>
    </w:p>
    <w:p w14:paraId="574466C3" w14:textId="79366F7F" w:rsidR="0071280E" w:rsidRDefault="0071280E" w:rsidP="00EB7B84">
      <w:pPr>
        <w:autoSpaceDE w:val="0"/>
        <w:autoSpaceDN w:val="0"/>
        <w:adjustRightInd w:val="0"/>
        <w:rPr>
          <w:rFonts w:ascii="Gill Sans MT" w:hAnsi="Gill Sans MT"/>
        </w:rPr>
      </w:pPr>
      <w:r>
        <w:rPr>
          <w:rFonts w:ascii="Gill Sans MT" w:hAnsi="Gill Sans MT"/>
        </w:rPr>
        <w:t xml:space="preserve">PROJECT’S OBJECTIVE AND </w:t>
      </w:r>
      <w:r w:rsidR="00EB7B84">
        <w:rPr>
          <w:rFonts w:ascii="Gill Sans MT" w:hAnsi="Gill Sans MT"/>
        </w:rPr>
        <w:t>EXPECTED OUTCOMES</w:t>
      </w:r>
    </w:p>
    <w:p w14:paraId="386061A2" w14:textId="2E5B9A50" w:rsidR="0071280E" w:rsidRPr="0071280E" w:rsidRDefault="0071280E" w:rsidP="00EB7B84">
      <w:pPr>
        <w:autoSpaceDE w:val="0"/>
        <w:autoSpaceDN w:val="0"/>
        <w:adjustRightInd w:val="0"/>
        <w:rPr>
          <w:rFonts w:ascii="Gill Sans MT" w:hAnsi="Gill Sans MT"/>
        </w:rPr>
      </w:pPr>
      <w:r>
        <w:rPr>
          <w:rFonts w:ascii="Gill Sans MT" w:hAnsi="Gill Sans MT"/>
          <w:noProof/>
        </w:rPr>
        <mc:AlternateContent>
          <mc:Choice Requires="wps">
            <w:drawing>
              <wp:anchor distT="0" distB="0" distL="114300" distR="114300" simplePos="0" relativeHeight="251659264" behindDoc="1" locked="0" layoutInCell="1" allowOverlap="1" wp14:anchorId="0B3BCAEE" wp14:editId="4B017678">
                <wp:simplePos x="0" y="0"/>
                <wp:positionH relativeFrom="margin">
                  <wp:posOffset>-38100</wp:posOffset>
                </wp:positionH>
                <wp:positionV relativeFrom="paragraph">
                  <wp:posOffset>70749</wp:posOffset>
                </wp:positionV>
                <wp:extent cx="6010275" cy="1742536"/>
                <wp:effectExtent l="0" t="0" r="9525" b="0"/>
                <wp:wrapNone/>
                <wp:docPr id="1" name="Rectangle 1"/>
                <wp:cNvGraphicFramePr/>
                <a:graphic xmlns:a="http://schemas.openxmlformats.org/drawingml/2006/main">
                  <a:graphicData uri="http://schemas.microsoft.com/office/word/2010/wordprocessingShape">
                    <wps:wsp>
                      <wps:cNvSpPr/>
                      <wps:spPr>
                        <a:xfrm>
                          <a:off x="0" y="0"/>
                          <a:ext cx="6010275" cy="1742536"/>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777EF4" id="Rectangle 1" o:spid="_x0000_s1026" style="position:absolute;margin-left:-3pt;margin-top:5.55pt;width:473.25pt;height:137.2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" fillcolor="#d9e2f3 [660]" stroked="f" strokeweight="1pt">
                <w10:wrap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330"/>
        <w:gridCol w:w="2600"/>
      </w:tblGrid>
      <w:tr w:rsidR="0071280E" w14:paraId="3E2B8B4F" w14:textId="77777777" w:rsidTr="0071280E">
        <w:tc>
          <w:tcPr>
            <w:tcW w:w="9350" w:type="dxa"/>
            <w:gridSpan w:val="3"/>
          </w:tcPr>
          <w:p w14:paraId="35A0DDB3" w14:textId="77777777" w:rsidR="00934F1E" w:rsidRDefault="00934F1E" w:rsidP="00934F1E">
            <w:pPr>
              <w:autoSpaceDE w:val="0"/>
              <w:autoSpaceDN w:val="0"/>
              <w:adjustRightInd w:val="0"/>
              <w:jc w:val="center"/>
              <w:rPr>
                <w:rFonts w:ascii="Gill Sans Nova Light" w:hAnsi="Gill Sans Nova Light" w:cstheme="minorHAnsi"/>
                <w:b/>
                <w:color w:val="2F5496" w:themeColor="accent1" w:themeShade="BF"/>
                <w:szCs w:val="22"/>
              </w:rPr>
            </w:pPr>
            <w:r w:rsidRPr="00934F1E">
              <w:rPr>
                <w:rFonts w:ascii="Gill Sans Nova Light" w:hAnsi="Gill Sans Nova Light" w:cstheme="minorHAnsi"/>
                <w:b/>
                <w:color w:val="2F5496" w:themeColor="accent1" w:themeShade="BF"/>
                <w:szCs w:val="22"/>
              </w:rPr>
              <w:t>The GoG manages migrant reintegration, integration, and labour migration</w:t>
            </w:r>
          </w:p>
          <w:p w14:paraId="1C42E695" w14:textId="77777777" w:rsidR="0071280E" w:rsidRDefault="00934F1E" w:rsidP="00934F1E">
            <w:pPr>
              <w:autoSpaceDE w:val="0"/>
              <w:autoSpaceDN w:val="0"/>
              <w:adjustRightInd w:val="0"/>
              <w:jc w:val="center"/>
              <w:rPr>
                <w:rFonts w:ascii="Gill Sans Nova Light" w:hAnsi="Gill Sans Nova Light" w:cstheme="minorHAnsi"/>
                <w:b/>
                <w:color w:val="2F5496" w:themeColor="accent1" w:themeShade="BF"/>
                <w:szCs w:val="22"/>
              </w:rPr>
            </w:pPr>
            <w:r w:rsidRPr="00934F1E">
              <w:rPr>
                <w:rFonts w:ascii="Gill Sans Nova Light" w:hAnsi="Gill Sans Nova Light" w:cstheme="minorHAnsi"/>
                <w:b/>
                <w:color w:val="2F5496" w:themeColor="accent1" w:themeShade="BF"/>
                <w:szCs w:val="22"/>
              </w:rPr>
              <w:t xml:space="preserve"> through an effective, integrated approach</w:t>
            </w:r>
          </w:p>
          <w:p w14:paraId="0D6A32CD" w14:textId="7765ED06" w:rsidR="00934F1E" w:rsidRPr="0071280E" w:rsidRDefault="00934F1E" w:rsidP="00934F1E">
            <w:pPr>
              <w:autoSpaceDE w:val="0"/>
              <w:autoSpaceDN w:val="0"/>
              <w:adjustRightInd w:val="0"/>
              <w:jc w:val="center"/>
              <w:rPr>
                <w:rFonts w:asciiTheme="minorHAnsi" w:hAnsiTheme="minorHAnsi" w:cstheme="minorHAnsi"/>
                <w:sz w:val="14"/>
                <w:szCs w:val="14"/>
              </w:rPr>
            </w:pPr>
          </w:p>
        </w:tc>
      </w:tr>
      <w:tr w:rsidR="0071280E" w14:paraId="4121848E" w14:textId="77777777" w:rsidTr="0071280E">
        <w:tc>
          <w:tcPr>
            <w:tcW w:w="3420" w:type="dxa"/>
          </w:tcPr>
          <w:p w14:paraId="66FCC5F1" w14:textId="0B598246" w:rsidR="0071280E" w:rsidRPr="0071280E" w:rsidRDefault="0071280E" w:rsidP="0071280E">
            <w:pPr>
              <w:autoSpaceDE w:val="0"/>
              <w:autoSpaceDN w:val="0"/>
              <w:adjustRightInd w:val="0"/>
              <w:jc w:val="center"/>
              <w:rPr>
                <w:rFonts w:ascii="Gill Sans Nova Light" w:hAnsi="Gill Sans Nova Light" w:cstheme="minorHAnsi"/>
                <w:sz w:val="20"/>
              </w:rPr>
            </w:pPr>
            <w:r w:rsidRPr="0071280E">
              <w:rPr>
                <w:rFonts w:ascii="Gill Sans Nova Light" w:hAnsi="Gill Sans Nova Light" w:cstheme="minorHAnsi"/>
                <w:sz w:val="20"/>
              </w:rPr>
              <w:t xml:space="preserve">Staff of Division have demonstrated increased understanding and capacity to perform duties arising from the </w:t>
            </w:r>
            <w:r w:rsidR="00934F1E">
              <w:rPr>
                <w:rFonts w:ascii="Gill Sans Nova Light" w:hAnsi="Gill Sans Nova Light" w:cstheme="minorHAnsi"/>
                <w:sz w:val="20"/>
              </w:rPr>
              <w:t>proposed</w:t>
            </w:r>
            <w:r w:rsidRPr="0071280E">
              <w:rPr>
                <w:rFonts w:ascii="Gill Sans Nova Light" w:hAnsi="Gill Sans Nova Light" w:cstheme="minorHAnsi"/>
                <w:sz w:val="20"/>
              </w:rPr>
              <w:t xml:space="preserve"> integrated operational framework.</w:t>
            </w:r>
          </w:p>
        </w:tc>
        <w:tc>
          <w:tcPr>
            <w:tcW w:w="3330" w:type="dxa"/>
          </w:tcPr>
          <w:p w14:paraId="0A429282" w14:textId="36FEA011" w:rsidR="0071280E" w:rsidRPr="0071280E" w:rsidRDefault="00934F1E" w:rsidP="0071280E">
            <w:pPr>
              <w:autoSpaceDE w:val="0"/>
              <w:autoSpaceDN w:val="0"/>
              <w:adjustRightInd w:val="0"/>
              <w:jc w:val="center"/>
              <w:rPr>
                <w:rFonts w:ascii="Gill Sans Nova Light" w:hAnsi="Gill Sans Nova Light" w:cstheme="minorHAnsi"/>
                <w:sz w:val="20"/>
              </w:rPr>
            </w:pPr>
            <w:r w:rsidRPr="00934F1E">
              <w:rPr>
                <w:rFonts w:ascii="Gill Sans Nova Light" w:hAnsi="Gill Sans Nova Light" w:cstheme="minorHAnsi"/>
                <w:sz w:val="20"/>
              </w:rPr>
              <w:t>Relevant policy, legislative, institutional and operational frameworks at national and international levels are well mapped and understood, and needs, gaps, relevant government objectives and attitudes are identified.</w:t>
            </w:r>
          </w:p>
        </w:tc>
        <w:tc>
          <w:tcPr>
            <w:tcW w:w="2600" w:type="dxa"/>
          </w:tcPr>
          <w:p w14:paraId="278C2F51" w14:textId="40780B01" w:rsidR="0071280E" w:rsidRPr="0071280E" w:rsidRDefault="00934F1E" w:rsidP="0071280E">
            <w:pPr>
              <w:autoSpaceDE w:val="0"/>
              <w:autoSpaceDN w:val="0"/>
              <w:adjustRightInd w:val="0"/>
              <w:jc w:val="center"/>
              <w:rPr>
                <w:rFonts w:ascii="Gill Sans Nova Light" w:hAnsi="Gill Sans Nova Light"/>
              </w:rPr>
            </w:pPr>
            <w:r w:rsidRPr="00934F1E">
              <w:rPr>
                <w:rFonts w:ascii="Gill Sans Nova Light" w:hAnsi="Gill Sans Nova Light" w:cstheme="minorHAnsi"/>
                <w:sz w:val="20"/>
              </w:rPr>
              <w:t xml:space="preserve">An integrated operational framework is developed and proposed; </w:t>
            </w:r>
            <w:r>
              <w:rPr>
                <w:rFonts w:ascii="Gill Sans Nova Light" w:hAnsi="Gill Sans Nova Light" w:cstheme="minorHAnsi"/>
                <w:sz w:val="20"/>
              </w:rPr>
              <w:t xml:space="preserve">with </w:t>
            </w:r>
            <w:r w:rsidRPr="00934F1E">
              <w:rPr>
                <w:rFonts w:ascii="Gill Sans Nova Light" w:hAnsi="Gill Sans Nova Light" w:cstheme="minorHAnsi"/>
                <w:sz w:val="20"/>
              </w:rPr>
              <w:t xml:space="preserve">initial approval by relevant stakeholders </w:t>
            </w:r>
          </w:p>
        </w:tc>
      </w:tr>
    </w:tbl>
    <w:p w14:paraId="23E097A0" w14:textId="77777777" w:rsidR="00934F1E" w:rsidRDefault="00934F1E" w:rsidP="00F265E9">
      <w:pPr>
        <w:autoSpaceDE w:val="0"/>
        <w:autoSpaceDN w:val="0"/>
        <w:adjustRightInd w:val="0"/>
        <w:rPr>
          <w:rFonts w:ascii="Gill Sans MT" w:hAnsi="Gill Sans MT"/>
        </w:rPr>
      </w:pPr>
    </w:p>
    <w:p w14:paraId="114BDBB3" w14:textId="77777777" w:rsidR="00934F1E" w:rsidRDefault="00934F1E" w:rsidP="00F265E9">
      <w:pPr>
        <w:autoSpaceDE w:val="0"/>
        <w:autoSpaceDN w:val="0"/>
        <w:adjustRightInd w:val="0"/>
        <w:rPr>
          <w:rFonts w:ascii="Gill Sans MT" w:hAnsi="Gill Sans MT"/>
        </w:rPr>
      </w:pPr>
    </w:p>
    <w:p w14:paraId="05CACB53" w14:textId="7A25A585" w:rsidR="00E85C31" w:rsidRDefault="00EB7B84" w:rsidP="00F265E9">
      <w:pPr>
        <w:autoSpaceDE w:val="0"/>
        <w:autoSpaceDN w:val="0"/>
        <w:adjustRightInd w:val="0"/>
        <w:rPr>
          <w:rFonts w:ascii="Gill Sans MT" w:hAnsi="Gill Sans MT"/>
        </w:rPr>
      </w:pPr>
      <w:r>
        <w:rPr>
          <w:rFonts w:ascii="Gill Sans MT" w:hAnsi="Gill Sans MT"/>
        </w:rPr>
        <w:t>STAKEHOLDERS</w:t>
      </w:r>
    </w:p>
    <w:p w14:paraId="16E9F1E9" w14:textId="77777777" w:rsidR="00943F15" w:rsidRPr="00943F15" w:rsidRDefault="00943F15" w:rsidP="00F265E9">
      <w:pPr>
        <w:autoSpaceDE w:val="0"/>
        <w:autoSpaceDN w:val="0"/>
        <w:adjustRightInd w:val="0"/>
        <w:rPr>
          <w:rFonts w:ascii="Gill Sans MT" w:hAnsi="Gill Sans MT"/>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150"/>
        <w:gridCol w:w="2520"/>
      </w:tblGrid>
      <w:tr w:rsidR="00F265E9" w14:paraId="5EAAADCC" w14:textId="32AD326B" w:rsidTr="00F265E9">
        <w:trPr>
          <w:jc w:val="center"/>
        </w:trPr>
        <w:tc>
          <w:tcPr>
            <w:tcW w:w="3690" w:type="dxa"/>
          </w:tcPr>
          <w:p w14:paraId="1BB1F865" w14:textId="4C93AC4D" w:rsidR="00C03B7E" w:rsidRPr="00FB7822" w:rsidRDefault="00C03B7E" w:rsidP="00C03B7E">
            <w:pPr>
              <w:autoSpaceDE w:val="0"/>
              <w:autoSpaceDN w:val="0"/>
              <w:adjustRightInd w:val="0"/>
              <w:rPr>
                <w:sz w:val="20"/>
                <w:szCs w:val="20"/>
              </w:rPr>
            </w:pPr>
            <w:r w:rsidRPr="00FB7822">
              <w:rPr>
                <w:b/>
                <w:sz w:val="20"/>
                <w:szCs w:val="20"/>
              </w:rPr>
              <w:t xml:space="preserve">The </w:t>
            </w:r>
            <w:proofErr w:type="spellStart"/>
            <w:r w:rsidRPr="00FB7822">
              <w:rPr>
                <w:b/>
                <w:sz w:val="20"/>
                <w:szCs w:val="20"/>
              </w:rPr>
              <w:t>MoLHSA</w:t>
            </w:r>
            <w:proofErr w:type="spellEnd"/>
            <w:r>
              <w:rPr>
                <w:b/>
                <w:sz w:val="20"/>
                <w:szCs w:val="20"/>
              </w:rPr>
              <w:t>, the leading and major responsible agency,</w:t>
            </w:r>
            <w:r w:rsidRPr="00FB7822">
              <w:rPr>
                <w:sz w:val="20"/>
                <w:szCs w:val="20"/>
              </w:rPr>
              <w:t xml:space="preserve"> is highly invested in developing its own capacities and shows continued commitment to revising own operational framework to include new migration management portfolio</w:t>
            </w:r>
            <w:r>
              <w:rPr>
                <w:sz w:val="20"/>
                <w:szCs w:val="20"/>
              </w:rPr>
              <w:t>.</w:t>
            </w:r>
          </w:p>
          <w:p w14:paraId="14020CAE" w14:textId="77777777" w:rsidR="00F265E9" w:rsidRDefault="00F265E9" w:rsidP="00F265E9">
            <w:pPr>
              <w:autoSpaceDE w:val="0"/>
              <w:autoSpaceDN w:val="0"/>
              <w:adjustRightInd w:val="0"/>
              <w:rPr>
                <w:b/>
                <w:sz w:val="20"/>
                <w:szCs w:val="20"/>
              </w:rPr>
            </w:pPr>
          </w:p>
          <w:p w14:paraId="4FAA7DA6" w14:textId="27F24306" w:rsidR="00943F15" w:rsidRPr="00FB7822" w:rsidRDefault="00943F15" w:rsidP="00F265E9">
            <w:pPr>
              <w:autoSpaceDE w:val="0"/>
              <w:autoSpaceDN w:val="0"/>
              <w:adjustRightInd w:val="0"/>
              <w:rPr>
                <w:b/>
                <w:sz w:val="20"/>
                <w:szCs w:val="20"/>
              </w:rPr>
            </w:pPr>
          </w:p>
        </w:tc>
        <w:tc>
          <w:tcPr>
            <w:tcW w:w="3150" w:type="dxa"/>
          </w:tcPr>
          <w:p w14:paraId="305E6050" w14:textId="77777777" w:rsidR="00C03B7E" w:rsidRPr="00FB7822" w:rsidRDefault="00C03B7E" w:rsidP="00C03B7E">
            <w:pPr>
              <w:autoSpaceDE w:val="0"/>
              <w:autoSpaceDN w:val="0"/>
              <w:adjustRightInd w:val="0"/>
              <w:rPr>
                <w:sz w:val="20"/>
                <w:szCs w:val="20"/>
              </w:rPr>
            </w:pPr>
            <w:r w:rsidRPr="00FB7822">
              <w:rPr>
                <w:b/>
                <w:sz w:val="20"/>
                <w:szCs w:val="20"/>
              </w:rPr>
              <w:t xml:space="preserve">The SCMI </w:t>
            </w:r>
            <w:r w:rsidRPr="00FB7822">
              <w:rPr>
                <w:sz w:val="20"/>
                <w:szCs w:val="20"/>
              </w:rPr>
              <w:t>is the guardian of the State Migration strategy and its implementation, responsible for coordinating inter-agency work. The Commission’s Executive Secretary will be</w:t>
            </w:r>
            <w:r>
              <w:rPr>
                <w:sz w:val="20"/>
                <w:szCs w:val="20"/>
              </w:rPr>
              <w:t xml:space="preserve"> approached to serve as</w:t>
            </w:r>
            <w:r w:rsidRPr="00FB7822">
              <w:rPr>
                <w:sz w:val="20"/>
                <w:szCs w:val="20"/>
              </w:rPr>
              <w:t xml:space="preserve"> a member of the Project Steering Committee.</w:t>
            </w:r>
          </w:p>
          <w:p w14:paraId="3EB91D6D" w14:textId="24CD931A" w:rsidR="00F265E9" w:rsidRPr="00FB7822" w:rsidRDefault="00F265E9" w:rsidP="00F265E9">
            <w:pPr>
              <w:autoSpaceDE w:val="0"/>
              <w:autoSpaceDN w:val="0"/>
              <w:adjustRightInd w:val="0"/>
              <w:rPr>
                <w:b/>
                <w:sz w:val="20"/>
                <w:szCs w:val="20"/>
              </w:rPr>
            </w:pPr>
          </w:p>
        </w:tc>
        <w:tc>
          <w:tcPr>
            <w:tcW w:w="2520" w:type="dxa"/>
          </w:tcPr>
          <w:p w14:paraId="4F90112D" w14:textId="2DAD3E56" w:rsidR="00F265E9" w:rsidRDefault="00F265E9" w:rsidP="00F265E9">
            <w:pPr>
              <w:autoSpaceDE w:val="0"/>
              <w:autoSpaceDN w:val="0"/>
              <w:adjustRightInd w:val="0"/>
              <w:rPr>
                <w:sz w:val="20"/>
                <w:szCs w:val="20"/>
              </w:rPr>
            </w:pPr>
            <w:r w:rsidRPr="00FB7822">
              <w:rPr>
                <w:b/>
                <w:sz w:val="20"/>
                <w:szCs w:val="20"/>
              </w:rPr>
              <w:t>IOM Georgia</w:t>
            </w:r>
            <w:r w:rsidRPr="00FB7822">
              <w:rPr>
                <w:sz w:val="20"/>
                <w:szCs w:val="20"/>
              </w:rPr>
              <w:t xml:space="preserve"> holds strong expertise in all three portfolios. Local IOM experts will form the project implementation team.</w:t>
            </w:r>
          </w:p>
          <w:p w14:paraId="1844AEEC" w14:textId="77777777" w:rsidR="00496A45" w:rsidRDefault="00496A45" w:rsidP="00F265E9">
            <w:pPr>
              <w:autoSpaceDE w:val="0"/>
              <w:autoSpaceDN w:val="0"/>
              <w:adjustRightInd w:val="0"/>
              <w:rPr>
                <w:sz w:val="20"/>
                <w:szCs w:val="20"/>
              </w:rPr>
            </w:pPr>
          </w:p>
          <w:p w14:paraId="6A3D3BE3" w14:textId="1E93698B" w:rsidR="00943F15" w:rsidRDefault="00943F15" w:rsidP="00F265E9">
            <w:pPr>
              <w:autoSpaceDE w:val="0"/>
              <w:autoSpaceDN w:val="0"/>
              <w:adjustRightInd w:val="0"/>
              <w:rPr>
                <w:sz w:val="20"/>
                <w:szCs w:val="20"/>
              </w:rPr>
            </w:pPr>
            <w:r>
              <w:rPr>
                <w:sz w:val="20"/>
                <w:szCs w:val="20"/>
              </w:rPr>
              <w:t xml:space="preserve">Contact: </w:t>
            </w:r>
            <w:r w:rsidRPr="00943F15">
              <w:rPr>
                <w:sz w:val="20"/>
                <w:szCs w:val="20"/>
              </w:rPr>
              <w:t>nkvitsiani@iom.int</w:t>
            </w:r>
          </w:p>
          <w:p w14:paraId="3973FE79" w14:textId="77777777" w:rsidR="00F265E9" w:rsidRPr="00FB7822" w:rsidRDefault="00F265E9" w:rsidP="00F265E9">
            <w:pPr>
              <w:autoSpaceDE w:val="0"/>
              <w:autoSpaceDN w:val="0"/>
              <w:adjustRightInd w:val="0"/>
              <w:rPr>
                <w:b/>
                <w:noProof/>
                <w:sz w:val="20"/>
                <w:szCs w:val="20"/>
              </w:rPr>
            </w:pPr>
          </w:p>
        </w:tc>
      </w:tr>
    </w:tbl>
    <w:p w14:paraId="1D3F16F6" w14:textId="1AF61635" w:rsidR="00765E9A" w:rsidRDefault="00EB7B84" w:rsidP="00EB7B84">
      <w:pPr>
        <w:autoSpaceDE w:val="0"/>
        <w:autoSpaceDN w:val="0"/>
        <w:adjustRightInd w:val="0"/>
        <w:rPr>
          <w:rFonts w:ascii="Gill Sans MT" w:hAnsi="Gill Sans MT"/>
        </w:rPr>
      </w:pPr>
      <w:r w:rsidRPr="00EB7B84">
        <w:rPr>
          <w:rFonts w:ascii="Gill Sans MT" w:hAnsi="Gill Sans MT"/>
        </w:rPr>
        <w:t>COORDINATION MECHANI</w:t>
      </w:r>
      <w:r>
        <w:rPr>
          <w:rFonts w:ascii="Gill Sans MT" w:hAnsi="Gill Sans MT"/>
        </w:rPr>
        <w:t>S</w:t>
      </w:r>
      <w:r w:rsidRPr="00EB7B84">
        <w:rPr>
          <w:rFonts w:ascii="Gill Sans MT" w:hAnsi="Gill Sans MT"/>
        </w:rPr>
        <w:t>M</w:t>
      </w:r>
    </w:p>
    <w:p w14:paraId="69E6C5B4" w14:textId="4DBB809D" w:rsidR="00DC2B85" w:rsidRPr="00D05758" w:rsidRDefault="00DC2B85" w:rsidP="00DC2B85">
      <w:pPr>
        <w:spacing w:after="120"/>
        <w:contextualSpacing/>
        <w:rPr>
          <w:rFonts w:cs="Arial"/>
          <w:iCs/>
          <w:szCs w:val="22"/>
        </w:rPr>
      </w:pPr>
      <w:r w:rsidRPr="00D05758">
        <w:rPr>
          <w:rFonts w:cs="Arial"/>
          <w:iCs/>
          <w:szCs w:val="22"/>
        </w:rPr>
        <w:t>IOM Georgia will be an executing agency responsible for project management</w:t>
      </w:r>
      <w:r w:rsidR="00F265E9">
        <w:rPr>
          <w:rFonts w:cs="Arial"/>
          <w:iCs/>
          <w:szCs w:val="22"/>
        </w:rPr>
        <w:t xml:space="preserve"> and the</w:t>
      </w:r>
      <w:r w:rsidRPr="00D05758">
        <w:rPr>
          <w:rFonts w:cs="Arial"/>
          <w:iCs/>
          <w:szCs w:val="22"/>
        </w:rPr>
        <w:t xml:space="preserve"> implementation of the planned activities. That said, the nature of the project necessitates close collaboration </w:t>
      </w:r>
      <w:r w:rsidR="00F265E9">
        <w:rPr>
          <w:rFonts w:cs="Arial"/>
          <w:iCs/>
          <w:szCs w:val="22"/>
        </w:rPr>
        <w:t>with and between</w:t>
      </w:r>
      <w:r w:rsidRPr="00D05758">
        <w:rPr>
          <w:rFonts w:cs="Arial"/>
          <w:iCs/>
          <w:szCs w:val="22"/>
        </w:rPr>
        <w:t xml:space="preserve"> the relevant state agencies, UN Agencies, local NGO partners and private sector. </w:t>
      </w:r>
    </w:p>
    <w:p w14:paraId="553B7A1C" w14:textId="29F3BA45" w:rsidR="00DC2B85" w:rsidRPr="00D05758" w:rsidRDefault="00943F15" w:rsidP="00943F15">
      <w:pPr>
        <w:tabs>
          <w:tab w:val="left" w:pos="7470"/>
        </w:tabs>
        <w:spacing w:after="120"/>
        <w:contextualSpacing/>
        <w:rPr>
          <w:rFonts w:cs="Arial"/>
          <w:iCs/>
          <w:szCs w:val="22"/>
        </w:rPr>
      </w:pPr>
      <w:r>
        <w:rPr>
          <w:rFonts w:cs="Arial"/>
          <w:iCs/>
          <w:szCs w:val="22"/>
        </w:rPr>
        <w:tab/>
      </w:r>
    </w:p>
    <w:p w14:paraId="0A50C3F7" w14:textId="006F609F" w:rsidR="00DC2B85" w:rsidRPr="00D05758" w:rsidRDefault="00DC2B85" w:rsidP="00DC2B85">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rPr>
          <w:rFonts w:cs="Arial"/>
          <w:iCs/>
          <w:szCs w:val="22"/>
        </w:rPr>
      </w:pPr>
      <w:r w:rsidRPr="00D05758">
        <w:rPr>
          <w:rFonts w:cs="Arial"/>
          <w:iCs/>
          <w:szCs w:val="22"/>
        </w:rPr>
        <w:t xml:space="preserve">A Project Steering Committee (PSC) will be established at the outset of the project. Members of the Project Steering Committee shall be nominated by </w:t>
      </w:r>
      <w:r w:rsidR="00496719">
        <w:rPr>
          <w:rFonts w:cs="Arial"/>
          <w:iCs/>
          <w:szCs w:val="22"/>
        </w:rPr>
        <w:t xml:space="preserve">the </w:t>
      </w:r>
      <w:proofErr w:type="spellStart"/>
      <w:r w:rsidRPr="00D05758">
        <w:rPr>
          <w:rFonts w:cs="Arial"/>
          <w:iCs/>
          <w:szCs w:val="22"/>
        </w:rPr>
        <w:t>MoLHSA</w:t>
      </w:r>
      <w:proofErr w:type="spellEnd"/>
      <w:r w:rsidR="00496719" w:rsidRPr="00496719">
        <w:rPr>
          <w:rFonts w:cs="Arial"/>
          <w:iCs/>
          <w:szCs w:val="22"/>
        </w:rPr>
        <w:t xml:space="preserve"> </w:t>
      </w:r>
      <w:r w:rsidR="00496719">
        <w:rPr>
          <w:rFonts w:cs="Arial"/>
          <w:iCs/>
          <w:szCs w:val="22"/>
        </w:rPr>
        <w:t xml:space="preserve">and </w:t>
      </w:r>
      <w:r w:rsidR="00496719" w:rsidRPr="00D05758">
        <w:rPr>
          <w:rFonts w:cs="Arial"/>
          <w:iCs/>
          <w:szCs w:val="22"/>
        </w:rPr>
        <w:t>IOM</w:t>
      </w:r>
      <w:r w:rsidR="001D63A4">
        <w:rPr>
          <w:rFonts w:cs="Arial"/>
          <w:iCs/>
          <w:szCs w:val="22"/>
        </w:rPr>
        <w:t>,</w:t>
      </w:r>
      <w:r w:rsidRPr="00D05758">
        <w:rPr>
          <w:rFonts w:cs="Arial"/>
          <w:iCs/>
          <w:szCs w:val="22"/>
        </w:rPr>
        <w:t xml:space="preserve"> in close coordination with the SCMI. At least bi-monthly meetings of the PSC will become a central means of monitoring progress, verifying assumptions spelled out in the programme logic, assessing changing risks and debating any changes to the workplan. </w:t>
      </w:r>
      <w:r w:rsidRPr="00D05758">
        <w:rPr>
          <w:szCs w:val="22"/>
        </w:rPr>
        <w:t>The PSC will support and/or endorse</w:t>
      </w:r>
      <w:r w:rsidRPr="00D05758">
        <w:rPr>
          <w:rFonts w:cs="Arial"/>
          <w:iCs/>
          <w:szCs w:val="22"/>
        </w:rPr>
        <w:t xml:space="preserve"> the identification of thematic experts, methodology and results of all assessments. This coordination mechanism will </w:t>
      </w:r>
      <w:r w:rsidR="00943F15">
        <w:rPr>
          <w:rFonts w:cs="Arial"/>
          <w:iCs/>
          <w:szCs w:val="22"/>
        </w:rPr>
        <w:t>support</w:t>
      </w:r>
      <w:r w:rsidRPr="00D05758">
        <w:rPr>
          <w:rFonts w:cs="Arial"/>
          <w:iCs/>
          <w:szCs w:val="22"/>
        </w:rPr>
        <w:t xml:space="preserve"> MoLHSA and the SCMI ownership over the project.  IOM’s project implementation team will report to the PSC. </w:t>
      </w:r>
      <w:r w:rsidRPr="00D05758">
        <w:t xml:space="preserve">Together, they will oversee the progress of thematic expert teams, and initiate and lead consultative processes with a wider group of stakeholders throughout the project. </w:t>
      </w:r>
    </w:p>
    <w:p w14:paraId="577A879D" w14:textId="77777777" w:rsidR="00DC2B85" w:rsidRPr="00943F15" w:rsidRDefault="00DC2B85" w:rsidP="00DC2B85">
      <w:pPr>
        <w:autoSpaceDE w:val="0"/>
        <w:autoSpaceDN w:val="0"/>
        <w:adjustRightInd w:val="0"/>
        <w:rPr>
          <w:sz w:val="10"/>
          <w:szCs w:val="10"/>
        </w:rPr>
      </w:pPr>
    </w:p>
    <w:p w14:paraId="12B1644F" w14:textId="426700DB" w:rsidR="00DC2B85" w:rsidRPr="00D05758" w:rsidRDefault="00943F15" w:rsidP="00DC2B85">
      <w:pPr>
        <w:autoSpaceDE w:val="0"/>
        <w:autoSpaceDN w:val="0"/>
        <w:adjustRightInd w:val="0"/>
      </w:pPr>
      <w:r>
        <w:t>T</w:t>
      </w:r>
      <w:r w:rsidR="00DC2B85" w:rsidRPr="00D05758">
        <w:t xml:space="preserve">he </w:t>
      </w:r>
      <w:r>
        <w:t xml:space="preserve">proposed </w:t>
      </w:r>
      <w:r w:rsidR="00DC2B85" w:rsidRPr="00D05758">
        <w:t xml:space="preserve">working and consultative processes </w:t>
      </w:r>
      <w:r w:rsidRPr="00D05758">
        <w:t>are</w:t>
      </w:r>
      <w:r w:rsidR="00DC2B85" w:rsidRPr="00D05758">
        <w:t xml:space="preserve"> </w:t>
      </w:r>
      <w:r>
        <w:t xml:space="preserve">outlined below: </w:t>
      </w:r>
      <w:r w:rsidR="00DC2B85" w:rsidRPr="00D05758">
        <w:t xml:space="preserve">  </w:t>
      </w:r>
    </w:p>
    <w:p w14:paraId="32EC262C" w14:textId="6A2B6EA1" w:rsidR="008E5793" w:rsidRDefault="00934F1E" w:rsidP="00943F15">
      <w:pPr>
        <w:autoSpaceDE w:val="0"/>
        <w:autoSpaceDN w:val="0"/>
        <w:adjustRightInd w:val="0"/>
        <w:rPr>
          <w:rFonts w:ascii="Gill Sans MT" w:hAnsi="Gill Sans MT"/>
          <w:b/>
        </w:rPr>
      </w:pPr>
      <w:r w:rsidRPr="00E36FB6">
        <w:rPr>
          <w:rFonts w:ascii="Gill Sans MT" w:hAnsi="Gill Sans MT"/>
          <w:b/>
          <w:noProof/>
        </w:rPr>
        <w:drawing>
          <wp:anchor distT="0" distB="0" distL="114300" distR="114300" simplePos="0" relativeHeight="251660288" behindDoc="0" locked="0" layoutInCell="1" allowOverlap="1" wp14:anchorId="4A7F28B0" wp14:editId="100E864E">
            <wp:simplePos x="0" y="0"/>
            <wp:positionH relativeFrom="margin">
              <wp:align>left</wp:align>
            </wp:positionH>
            <wp:positionV relativeFrom="paragraph">
              <wp:posOffset>59043</wp:posOffset>
            </wp:positionV>
            <wp:extent cx="5469147" cy="322742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kflow diagram_2.0.gif"/>
                    <pic:cNvPicPr/>
                  </pic:nvPicPr>
                  <pic:blipFill rotWithShape="1">
                    <a:blip r:embed="rId7">
                      <a:extLst>
                        <a:ext uri="{28A0092B-C50C-407E-A947-70E740481C1C}">
                          <a14:useLocalDpi xmlns:a14="http://schemas.microsoft.com/office/drawing/2010/main" val="0"/>
                        </a:ext>
                      </a:extLst>
                    </a:blip>
                    <a:srcRect l="8233" t="4880" r="11409" b="10812"/>
                    <a:stretch/>
                  </pic:blipFill>
                  <pic:spPr bwMode="auto">
                    <a:xfrm>
                      <a:off x="0" y="0"/>
                      <a:ext cx="5492630" cy="32412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EAADE1" w14:textId="2B334D5B" w:rsidR="00943F15" w:rsidRDefault="00943F15" w:rsidP="00943F15">
      <w:pPr>
        <w:autoSpaceDE w:val="0"/>
        <w:autoSpaceDN w:val="0"/>
        <w:adjustRightInd w:val="0"/>
        <w:rPr>
          <w:rFonts w:ascii="Gill Sans MT" w:hAnsi="Gill Sans MT"/>
          <w:b/>
        </w:rPr>
      </w:pPr>
    </w:p>
    <w:p w14:paraId="36DA950F" w14:textId="7A952C93" w:rsidR="00943F15" w:rsidRDefault="00943F15" w:rsidP="00943F15">
      <w:pPr>
        <w:autoSpaceDE w:val="0"/>
        <w:autoSpaceDN w:val="0"/>
        <w:adjustRightInd w:val="0"/>
        <w:rPr>
          <w:rFonts w:ascii="Gill Sans MT" w:hAnsi="Gill Sans MT"/>
          <w:b/>
        </w:rPr>
      </w:pPr>
    </w:p>
    <w:p w14:paraId="47DBF239" w14:textId="5BE8410F" w:rsidR="00943F15" w:rsidRDefault="00943F15" w:rsidP="00943F15">
      <w:pPr>
        <w:autoSpaceDE w:val="0"/>
        <w:autoSpaceDN w:val="0"/>
        <w:adjustRightInd w:val="0"/>
        <w:rPr>
          <w:rFonts w:ascii="Gill Sans MT" w:hAnsi="Gill Sans MT"/>
          <w:b/>
        </w:rPr>
      </w:pPr>
    </w:p>
    <w:p w14:paraId="7814B9CF" w14:textId="4E29207A" w:rsidR="00943F15" w:rsidRDefault="00943F15" w:rsidP="00943F15">
      <w:pPr>
        <w:autoSpaceDE w:val="0"/>
        <w:autoSpaceDN w:val="0"/>
        <w:adjustRightInd w:val="0"/>
        <w:rPr>
          <w:rFonts w:ascii="Gill Sans MT" w:hAnsi="Gill Sans MT"/>
          <w:b/>
        </w:rPr>
      </w:pPr>
    </w:p>
    <w:p w14:paraId="1ACFBFEA" w14:textId="2F023473" w:rsidR="00943F15" w:rsidRDefault="00943F15" w:rsidP="00943F15">
      <w:pPr>
        <w:autoSpaceDE w:val="0"/>
        <w:autoSpaceDN w:val="0"/>
        <w:adjustRightInd w:val="0"/>
        <w:rPr>
          <w:rFonts w:ascii="Gill Sans MT" w:hAnsi="Gill Sans MT"/>
          <w:b/>
        </w:rPr>
      </w:pPr>
    </w:p>
    <w:p w14:paraId="02A2DB59" w14:textId="3CC5A852" w:rsidR="00943F15" w:rsidRDefault="00943F15" w:rsidP="00943F15">
      <w:pPr>
        <w:autoSpaceDE w:val="0"/>
        <w:autoSpaceDN w:val="0"/>
        <w:adjustRightInd w:val="0"/>
        <w:rPr>
          <w:rFonts w:ascii="Gill Sans MT" w:hAnsi="Gill Sans MT"/>
          <w:b/>
        </w:rPr>
      </w:pPr>
    </w:p>
    <w:p w14:paraId="05D7141B" w14:textId="272B10C6" w:rsidR="00943F15" w:rsidRDefault="00943F15" w:rsidP="00943F15">
      <w:pPr>
        <w:autoSpaceDE w:val="0"/>
        <w:autoSpaceDN w:val="0"/>
        <w:adjustRightInd w:val="0"/>
        <w:rPr>
          <w:rFonts w:ascii="Gill Sans MT" w:hAnsi="Gill Sans MT"/>
          <w:b/>
        </w:rPr>
      </w:pPr>
    </w:p>
    <w:p w14:paraId="3A2F41EA" w14:textId="42007A83" w:rsidR="00943F15" w:rsidRDefault="00943F15" w:rsidP="00943F15">
      <w:pPr>
        <w:autoSpaceDE w:val="0"/>
        <w:autoSpaceDN w:val="0"/>
        <w:adjustRightInd w:val="0"/>
        <w:rPr>
          <w:rFonts w:ascii="Gill Sans MT" w:hAnsi="Gill Sans MT"/>
          <w:b/>
        </w:rPr>
      </w:pPr>
    </w:p>
    <w:p w14:paraId="2768B887" w14:textId="777BCAB6" w:rsidR="00943F15" w:rsidRDefault="00943F15" w:rsidP="00943F15">
      <w:pPr>
        <w:autoSpaceDE w:val="0"/>
        <w:autoSpaceDN w:val="0"/>
        <w:adjustRightInd w:val="0"/>
        <w:rPr>
          <w:rFonts w:ascii="Gill Sans MT" w:hAnsi="Gill Sans MT"/>
          <w:b/>
        </w:rPr>
      </w:pPr>
    </w:p>
    <w:p w14:paraId="631CA6BF" w14:textId="5D35C653" w:rsidR="00943F15" w:rsidRDefault="00943F15" w:rsidP="00943F15">
      <w:pPr>
        <w:autoSpaceDE w:val="0"/>
        <w:autoSpaceDN w:val="0"/>
        <w:adjustRightInd w:val="0"/>
        <w:rPr>
          <w:rFonts w:ascii="Gill Sans MT" w:hAnsi="Gill Sans MT"/>
          <w:b/>
        </w:rPr>
      </w:pPr>
    </w:p>
    <w:p w14:paraId="73064F4B" w14:textId="541CD4B9" w:rsidR="00943F15" w:rsidRDefault="00943F15" w:rsidP="00943F15">
      <w:pPr>
        <w:autoSpaceDE w:val="0"/>
        <w:autoSpaceDN w:val="0"/>
        <w:adjustRightInd w:val="0"/>
        <w:rPr>
          <w:rFonts w:ascii="Gill Sans MT" w:hAnsi="Gill Sans MT"/>
          <w:b/>
        </w:rPr>
      </w:pPr>
    </w:p>
    <w:p w14:paraId="7119AD5F" w14:textId="011D127F" w:rsidR="00943F15" w:rsidRDefault="00943F15" w:rsidP="00943F15">
      <w:pPr>
        <w:autoSpaceDE w:val="0"/>
        <w:autoSpaceDN w:val="0"/>
        <w:adjustRightInd w:val="0"/>
        <w:rPr>
          <w:rFonts w:ascii="Gill Sans MT" w:hAnsi="Gill Sans MT"/>
          <w:b/>
        </w:rPr>
      </w:pPr>
    </w:p>
    <w:p w14:paraId="535B44B6" w14:textId="6F67EB42" w:rsidR="00943F15" w:rsidRDefault="00943F15" w:rsidP="00943F15">
      <w:pPr>
        <w:autoSpaceDE w:val="0"/>
        <w:autoSpaceDN w:val="0"/>
        <w:adjustRightInd w:val="0"/>
        <w:rPr>
          <w:rFonts w:ascii="Gill Sans MT" w:hAnsi="Gill Sans MT"/>
          <w:b/>
        </w:rPr>
      </w:pPr>
    </w:p>
    <w:p w14:paraId="00B932EC" w14:textId="5BE34998" w:rsidR="00943F15" w:rsidRDefault="00943F15" w:rsidP="00943F15">
      <w:pPr>
        <w:autoSpaceDE w:val="0"/>
        <w:autoSpaceDN w:val="0"/>
        <w:adjustRightInd w:val="0"/>
        <w:rPr>
          <w:rFonts w:ascii="Gill Sans MT" w:hAnsi="Gill Sans MT"/>
          <w:b/>
        </w:rPr>
      </w:pPr>
    </w:p>
    <w:p w14:paraId="398B3F76" w14:textId="2E0E5EBF" w:rsidR="00943F15" w:rsidRDefault="00943F15" w:rsidP="00943F15">
      <w:pPr>
        <w:autoSpaceDE w:val="0"/>
        <w:autoSpaceDN w:val="0"/>
        <w:adjustRightInd w:val="0"/>
        <w:rPr>
          <w:rFonts w:ascii="Gill Sans MT" w:hAnsi="Gill Sans MT"/>
          <w:b/>
        </w:rPr>
      </w:pPr>
    </w:p>
    <w:p w14:paraId="498F2116" w14:textId="77777777" w:rsidR="00943F15" w:rsidRDefault="00943F15" w:rsidP="00943F15">
      <w:pPr>
        <w:autoSpaceDE w:val="0"/>
        <w:autoSpaceDN w:val="0"/>
        <w:adjustRightInd w:val="0"/>
        <w:rPr>
          <w:rFonts w:ascii="Gill Sans MT" w:hAnsi="Gill Sans MT"/>
          <w:b/>
        </w:rPr>
      </w:pPr>
      <w:bookmarkStart w:id="1" w:name="_GoBack"/>
      <w:bookmarkEnd w:id="1"/>
    </w:p>
    <w:sectPr w:rsidR="00943F15" w:rsidSect="00943F15">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59AA5" w14:textId="77777777" w:rsidR="00507FD4" w:rsidRDefault="00507FD4" w:rsidP="00EB7B84">
      <w:r>
        <w:separator/>
      </w:r>
    </w:p>
  </w:endnote>
  <w:endnote w:type="continuationSeparator" w:id="0">
    <w:p w14:paraId="292727BF" w14:textId="77777777" w:rsidR="00507FD4" w:rsidRDefault="00507FD4" w:rsidP="00EB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ヒラギノ角ゴ Pro W3">
    <w:altName w:val="Arial Unicode MS"/>
    <w:charset w:val="80"/>
    <w:family w:val="swiss"/>
    <w:pitch w:val="variable"/>
    <w:sig w:usb0="E00002FF" w:usb1="7AC7FFFF" w:usb2="00000012" w:usb3="00000000" w:csb0="0002000D" w:csb1="00000000"/>
  </w:font>
  <w:font w:name="Segoe UI">
    <w:panose1 w:val="020B0502040204020203"/>
    <w:charset w:val="00"/>
    <w:family w:val="swiss"/>
    <w:pitch w:val="variable"/>
    <w:sig w:usb0="E1002AFF" w:usb1="C000E47F" w:usb2="00000029" w:usb3="00000000" w:csb0="000001FF" w:csb1="00000000"/>
  </w:font>
  <w:font w:name="Lucida Grande">
    <w:altName w:val="Segoe UI"/>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Nova Light">
    <w:charset w:val="00"/>
    <w:family w:val="swiss"/>
    <w:pitch w:val="variable"/>
    <w:sig w:usb0="8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426F" w14:textId="77777777" w:rsidR="00943F15" w:rsidRDefault="00943F15" w:rsidP="00943F15">
    <w:pPr>
      <w:tabs>
        <w:tab w:val="left" w:pos="2850"/>
      </w:tabs>
      <w:rPr>
        <w:rFonts w:ascii="Gill Sans MT" w:hAnsi="Gill Sans MT"/>
        <w:sz w:val="16"/>
        <w:szCs w:val="16"/>
      </w:rPr>
    </w:pPr>
  </w:p>
  <w:p w14:paraId="38602A86" w14:textId="3B5E9B47" w:rsidR="00943F15" w:rsidRPr="00943F15" w:rsidRDefault="00934F1E" w:rsidP="00934F1E">
    <w:pPr>
      <w:tabs>
        <w:tab w:val="left" w:pos="2850"/>
      </w:tabs>
      <w:rPr>
        <w:rFonts w:ascii="Gill Sans MT" w:hAnsi="Gill Sans MT"/>
        <w:sz w:val="16"/>
        <w:szCs w:val="16"/>
      </w:rPr>
    </w:pPr>
    <w:r w:rsidRPr="00934F1E">
      <w:rPr>
        <w:rFonts w:ascii="Gill Sans MT" w:hAnsi="Gill Sans MT"/>
        <w:sz w:val="16"/>
        <w:szCs w:val="16"/>
      </w:rPr>
      <w:t>Project implementation team will report to and seek endorsement from the PSC. The PSC will oversee the work of thematic expert teams. Results of the project’s working processes will be presented and debated with a wider variety of existing GoG structures (as well as with non-governmental stakeholders – not pictured) through multiple rounds of consultative processes.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A2EEF" w14:textId="77777777" w:rsidR="00507FD4" w:rsidRDefault="00507FD4" w:rsidP="00EB7B84">
      <w:r>
        <w:separator/>
      </w:r>
    </w:p>
  </w:footnote>
  <w:footnote w:type="continuationSeparator" w:id="0">
    <w:p w14:paraId="2B54B85D" w14:textId="77777777" w:rsidR="00507FD4" w:rsidRDefault="00507FD4" w:rsidP="00EB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A5A3" w14:textId="77777777" w:rsidR="00EB7B84" w:rsidRDefault="00EB7B84">
    <w:pPr>
      <w:pStyle w:val="Header"/>
    </w:pPr>
    <w:r>
      <w:rPr>
        <w:noProof/>
      </w:rPr>
      <w:drawing>
        <wp:inline distT="0" distB="0" distL="0" distR="0" wp14:anchorId="1535841F" wp14:editId="411A471E">
          <wp:extent cx="4882896" cy="9845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F_Logo_EN_BLUE-01.jpg"/>
                  <pic:cNvPicPr/>
                </pic:nvPicPr>
                <pic:blipFill>
                  <a:blip r:embed="rId1">
                    <a:extLst>
                      <a:ext uri="{28A0092B-C50C-407E-A947-70E740481C1C}">
                        <a14:useLocalDpi xmlns:a14="http://schemas.microsoft.com/office/drawing/2010/main" val="0"/>
                      </a:ext>
                    </a:extLst>
                  </a:blip>
                  <a:stretch>
                    <a:fillRect/>
                  </a:stretch>
                </pic:blipFill>
                <pic:spPr>
                  <a:xfrm>
                    <a:off x="0" y="0"/>
                    <a:ext cx="4882896" cy="984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A3094" w14:textId="1514AEAE" w:rsidR="00152E1C" w:rsidRDefault="00152E1C">
    <w:pPr>
      <w:pStyle w:val="Header"/>
    </w:pPr>
    <w:r>
      <w:rPr>
        <w:noProof/>
      </w:rPr>
      <w:drawing>
        <wp:inline distT="0" distB="0" distL="0" distR="0" wp14:anchorId="557E0F91" wp14:editId="60281D05">
          <wp:extent cx="4882896" cy="984504"/>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F_Logo_EN_BLUE-01.jpg"/>
                  <pic:cNvPicPr/>
                </pic:nvPicPr>
                <pic:blipFill>
                  <a:blip r:embed="rId1">
                    <a:extLst>
                      <a:ext uri="{28A0092B-C50C-407E-A947-70E740481C1C}">
                        <a14:useLocalDpi xmlns:a14="http://schemas.microsoft.com/office/drawing/2010/main" val="0"/>
                      </a:ext>
                    </a:extLst>
                  </a:blip>
                  <a:stretch>
                    <a:fillRect/>
                  </a:stretch>
                </pic:blipFill>
                <pic:spPr>
                  <a:xfrm>
                    <a:off x="0" y="0"/>
                    <a:ext cx="4882896" cy="984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04C2E"/>
    <w:multiLevelType w:val="hybridMultilevel"/>
    <w:tmpl w:val="378C8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3C73B9"/>
    <w:multiLevelType w:val="hybridMultilevel"/>
    <w:tmpl w:val="A9489E26"/>
    <w:lvl w:ilvl="0" w:tplc="B576E5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4E"/>
    <w:rsid w:val="00076747"/>
    <w:rsid w:val="00152E1C"/>
    <w:rsid w:val="00195148"/>
    <w:rsid w:val="001D63A4"/>
    <w:rsid w:val="00210703"/>
    <w:rsid w:val="002717D1"/>
    <w:rsid w:val="002D7DCD"/>
    <w:rsid w:val="003973B5"/>
    <w:rsid w:val="00465FE2"/>
    <w:rsid w:val="00496719"/>
    <w:rsid w:val="00496A45"/>
    <w:rsid w:val="004E6376"/>
    <w:rsid w:val="00507FD4"/>
    <w:rsid w:val="005971CC"/>
    <w:rsid w:val="0071280E"/>
    <w:rsid w:val="0071614E"/>
    <w:rsid w:val="00765E9A"/>
    <w:rsid w:val="00934F1E"/>
    <w:rsid w:val="00943F15"/>
    <w:rsid w:val="00AE241D"/>
    <w:rsid w:val="00B5349B"/>
    <w:rsid w:val="00C03B7E"/>
    <w:rsid w:val="00DC2B85"/>
    <w:rsid w:val="00E60A0D"/>
    <w:rsid w:val="00E61A2B"/>
    <w:rsid w:val="00E85C31"/>
    <w:rsid w:val="00EB7B84"/>
    <w:rsid w:val="00F265E9"/>
    <w:rsid w:val="00FB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3EC8"/>
  <w15:chartTrackingRefBased/>
  <w15:docId w15:val="{ABB7A10E-0578-4892-B323-4B64563B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B84"/>
    <w:pPr>
      <w:spacing w:after="0" w:line="240" w:lineRule="auto"/>
      <w:jc w:val="both"/>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7B84"/>
    <w:rPr>
      <w:sz w:val="20"/>
      <w:szCs w:val="20"/>
    </w:rPr>
  </w:style>
  <w:style w:type="character" w:customStyle="1" w:styleId="FootnoteTextChar">
    <w:name w:val="Footnote Text Char"/>
    <w:basedOn w:val="DefaultParagraphFont"/>
    <w:link w:val="FootnoteText"/>
    <w:semiHidden/>
    <w:rsid w:val="00EB7B84"/>
    <w:rPr>
      <w:rFonts w:ascii="Calibri" w:eastAsia="Times New Roman" w:hAnsi="Calibri" w:cs="Times New Roman"/>
      <w:sz w:val="20"/>
      <w:szCs w:val="20"/>
    </w:rPr>
  </w:style>
  <w:style w:type="character" w:styleId="FootnoteReference">
    <w:name w:val="footnote reference"/>
    <w:semiHidden/>
    <w:rsid w:val="00EB7B84"/>
    <w:rPr>
      <w:rFonts w:cs="Times New Roman"/>
      <w:vertAlign w:val="superscript"/>
    </w:rPr>
  </w:style>
  <w:style w:type="paragraph" w:customStyle="1" w:styleId="Heading2AA">
    <w:name w:val="Heading 2 A A"/>
    <w:next w:val="Normal"/>
    <w:rsid w:val="00EB7B84"/>
    <w:pPr>
      <w:keepNext/>
      <w:spacing w:after="0" w:line="240" w:lineRule="auto"/>
      <w:outlineLvl w:val="1"/>
    </w:pPr>
    <w:rPr>
      <w:rFonts w:ascii="Helvetica" w:eastAsia="ヒラギノ角ゴ Pro W3" w:hAnsi="Helvetica" w:cs="Times New Roman"/>
      <w:b/>
      <w:color w:val="000000"/>
      <w:sz w:val="24"/>
      <w:szCs w:val="24"/>
    </w:rPr>
  </w:style>
  <w:style w:type="paragraph" w:styleId="Header">
    <w:name w:val="header"/>
    <w:basedOn w:val="Normal"/>
    <w:link w:val="HeaderChar"/>
    <w:uiPriority w:val="99"/>
    <w:unhideWhenUsed/>
    <w:rsid w:val="00EB7B84"/>
    <w:pPr>
      <w:tabs>
        <w:tab w:val="center" w:pos="4680"/>
        <w:tab w:val="right" w:pos="9360"/>
      </w:tabs>
    </w:pPr>
  </w:style>
  <w:style w:type="character" w:customStyle="1" w:styleId="HeaderChar">
    <w:name w:val="Header Char"/>
    <w:basedOn w:val="DefaultParagraphFont"/>
    <w:link w:val="Header"/>
    <w:uiPriority w:val="99"/>
    <w:rsid w:val="00EB7B84"/>
    <w:rPr>
      <w:rFonts w:ascii="Calibri" w:eastAsia="Times New Roman" w:hAnsi="Calibri" w:cs="Times New Roman"/>
      <w:szCs w:val="24"/>
    </w:rPr>
  </w:style>
  <w:style w:type="paragraph" w:styleId="Footer">
    <w:name w:val="footer"/>
    <w:basedOn w:val="Normal"/>
    <w:link w:val="FooterChar"/>
    <w:uiPriority w:val="99"/>
    <w:unhideWhenUsed/>
    <w:rsid w:val="00EB7B84"/>
    <w:pPr>
      <w:tabs>
        <w:tab w:val="center" w:pos="4680"/>
        <w:tab w:val="right" w:pos="9360"/>
      </w:tabs>
    </w:pPr>
  </w:style>
  <w:style w:type="character" w:customStyle="1" w:styleId="FooterChar">
    <w:name w:val="Footer Char"/>
    <w:basedOn w:val="DefaultParagraphFont"/>
    <w:link w:val="Footer"/>
    <w:uiPriority w:val="99"/>
    <w:rsid w:val="00EB7B84"/>
    <w:rPr>
      <w:rFonts w:ascii="Calibri" w:eastAsia="Times New Roman" w:hAnsi="Calibri" w:cs="Times New Roman"/>
      <w:szCs w:val="24"/>
    </w:rPr>
  </w:style>
  <w:style w:type="character" w:styleId="CommentReference">
    <w:name w:val="annotation reference"/>
    <w:uiPriority w:val="99"/>
    <w:semiHidden/>
    <w:rsid w:val="00EB7B84"/>
    <w:rPr>
      <w:rFonts w:cs="Times New Roman"/>
      <w:sz w:val="16"/>
    </w:rPr>
  </w:style>
  <w:style w:type="paragraph" w:styleId="CommentText">
    <w:name w:val="annotation text"/>
    <w:basedOn w:val="Normal"/>
    <w:link w:val="CommentTextChar"/>
    <w:uiPriority w:val="99"/>
    <w:semiHidden/>
    <w:rsid w:val="00EB7B84"/>
    <w:rPr>
      <w:sz w:val="20"/>
      <w:szCs w:val="20"/>
    </w:rPr>
  </w:style>
  <w:style w:type="character" w:customStyle="1" w:styleId="CommentTextChar">
    <w:name w:val="Comment Text Char"/>
    <w:basedOn w:val="DefaultParagraphFont"/>
    <w:link w:val="CommentText"/>
    <w:uiPriority w:val="99"/>
    <w:semiHidden/>
    <w:rsid w:val="00EB7B84"/>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B7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84"/>
    <w:rPr>
      <w:rFonts w:ascii="Segoe UI" w:eastAsia="Times New Roman" w:hAnsi="Segoe UI" w:cs="Segoe UI"/>
      <w:sz w:val="18"/>
      <w:szCs w:val="18"/>
    </w:rPr>
  </w:style>
  <w:style w:type="paragraph" w:styleId="ListParagraph">
    <w:name w:val="List Paragraph"/>
    <w:basedOn w:val="Normal"/>
    <w:uiPriority w:val="34"/>
    <w:qFormat/>
    <w:rsid w:val="00DC2B85"/>
    <w:pPr>
      <w:spacing w:after="200" w:line="276" w:lineRule="auto"/>
      <w:ind w:left="720"/>
      <w:jc w:val="left"/>
    </w:pPr>
    <w:rPr>
      <w:rFonts w:ascii="Lucida Grande" w:eastAsia="ヒラギノ角ゴ Pro W3" w:hAnsi="Lucida Grande"/>
      <w:color w:val="000000"/>
      <w:szCs w:val="20"/>
      <w:lang w:val="es-ES_tradnl"/>
    </w:rPr>
  </w:style>
  <w:style w:type="table" w:styleId="TableGrid">
    <w:name w:val="Table Grid"/>
    <w:basedOn w:val="TableNormal"/>
    <w:uiPriority w:val="39"/>
    <w:rsid w:val="0071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349B"/>
    <w:rPr>
      <w:b/>
      <w:bCs/>
    </w:rPr>
  </w:style>
  <w:style w:type="character" w:customStyle="1" w:styleId="CommentSubjectChar">
    <w:name w:val="Comment Subject Char"/>
    <w:basedOn w:val="CommentTextChar"/>
    <w:link w:val="CommentSubject"/>
    <w:uiPriority w:val="99"/>
    <w:semiHidden/>
    <w:rsid w:val="00B5349B"/>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591D8C6D042228C99892372059066"/>
        <w:category>
          <w:name w:val="General"/>
          <w:gallery w:val="placeholder"/>
        </w:category>
        <w:types>
          <w:type w:val="bbPlcHdr"/>
        </w:types>
        <w:behaviors>
          <w:behavior w:val="content"/>
        </w:behaviors>
        <w:guid w:val="{F0FA9AC8-A2A9-4072-820F-88AF2CD5DE71}"/>
      </w:docPartPr>
      <w:docPartBody>
        <w:p w:rsidR="007642CA" w:rsidRDefault="00B75F85" w:rsidP="00B75F85">
          <w:pPr>
            <w:pStyle w:val="8F9591D8C6D042228C99892372059066"/>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ヒラギノ角ゴ Pro W3">
    <w:altName w:val="Arial Unicode MS"/>
    <w:charset w:val="80"/>
    <w:family w:val="swiss"/>
    <w:pitch w:val="variable"/>
    <w:sig w:usb0="E00002FF" w:usb1="7AC7FFFF" w:usb2="00000012" w:usb3="00000000" w:csb0="0002000D" w:csb1="00000000"/>
  </w:font>
  <w:font w:name="Segoe UI">
    <w:panose1 w:val="020B0502040204020203"/>
    <w:charset w:val="00"/>
    <w:family w:val="swiss"/>
    <w:pitch w:val="variable"/>
    <w:sig w:usb0="E1002AFF" w:usb1="C000E47F" w:usb2="00000029" w:usb3="00000000" w:csb0="000001FF" w:csb1="00000000"/>
  </w:font>
  <w:font w:name="Lucida Grande">
    <w:altName w:val="Segoe UI"/>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Nova Light">
    <w:charset w:val="00"/>
    <w:family w:val="swiss"/>
    <w:pitch w:val="variable"/>
    <w:sig w:usb0="8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85"/>
    <w:rsid w:val="002B6D9F"/>
    <w:rsid w:val="003A6E2E"/>
    <w:rsid w:val="007642CA"/>
    <w:rsid w:val="00A92C90"/>
    <w:rsid w:val="00B7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F85"/>
    <w:rPr>
      <w:color w:val="808080"/>
    </w:rPr>
  </w:style>
  <w:style w:type="paragraph" w:customStyle="1" w:styleId="1D2E8E66BA134C8DB0815BE7D43F83B3">
    <w:name w:val="1D2E8E66BA134C8DB0815BE7D43F83B3"/>
    <w:rsid w:val="00B75F85"/>
  </w:style>
  <w:style w:type="paragraph" w:customStyle="1" w:styleId="A0D2E28ABA6F41B282913C875312B37A">
    <w:name w:val="A0D2E28ABA6F41B282913C875312B37A"/>
    <w:rsid w:val="00B75F85"/>
  </w:style>
  <w:style w:type="paragraph" w:customStyle="1" w:styleId="8F9591D8C6D042228C99892372059066">
    <w:name w:val="8F9591D8C6D042228C99892372059066"/>
    <w:rsid w:val="00B75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KRELINOVA Karolina</dc:creator>
  <cp:keywords/>
  <dc:description/>
  <cp:lastModifiedBy>Natia KVITSIANI</cp:lastModifiedBy>
  <cp:revision>2</cp:revision>
  <dcterms:created xsi:type="dcterms:W3CDTF">2019-03-22T06:44:00Z</dcterms:created>
  <dcterms:modified xsi:type="dcterms:W3CDTF">2019-03-22T06:44:00Z</dcterms:modified>
</cp:coreProperties>
</file>